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F80" w:rsidRDefault="00881F80" w:rsidP="001F3C18">
      <w:pPr>
        <w:tabs>
          <w:tab w:val="left" w:pos="4000"/>
        </w:tabs>
        <w:spacing w:after="0"/>
        <w:jc w:val="center"/>
        <w:rPr>
          <w:rFonts w:ascii="Arial" w:eastAsia="Times New Roman" w:hAnsi="Arial" w:cs="Arial"/>
          <w:b/>
          <w:lang w:eastAsia="pt-BR"/>
        </w:rPr>
      </w:pPr>
    </w:p>
    <w:p w:rsidR="001F3C18" w:rsidRPr="001F3C18" w:rsidRDefault="009F7325" w:rsidP="001F3C18">
      <w:pPr>
        <w:tabs>
          <w:tab w:val="left" w:pos="4000"/>
        </w:tabs>
        <w:spacing w:after="0"/>
        <w:jc w:val="center"/>
        <w:rPr>
          <w:rFonts w:ascii="Arial" w:eastAsia="Times New Roman" w:hAnsi="Arial" w:cs="Arial"/>
          <w:b/>
          <w:lang w:eastAsia="pt-BR"/>
        </w:rPr>
      </w:pPr>
      <w:r>
        <w:rPr>
          <w:rFonts w:ascii="Arial" w:eastAsia="Times New Roman" w:hAnsi="Arial" w:cs="Arial"/>
          <w:b/>
          <w:lang w:eastAsia="pt-BR"/>
        </w:rPr>
        <w:t>ANEXO 5</w:t>
      </w:r>
    </w:p>
    <w:p w:rsidR="001F3C18" w:rsidRPr="001F3C18" w:rsidRDefault="001F3C18" w:rsidP="001F3C18">
      <w:pPr>
        <w:spacing w:after="0"/>
        <w:jc w:val="both"/>
        <w:rPr>
          <w:rFonts w:ascii="Arial" w:eastAsia="Times New Roman" w:hAnsi="Arial" w:cs="Arial"/>
          <w:sz w:val="20"/>
          <w:lang w:eastAsia="pt-BR"/>
        </w:rPr>
      </w:pPr>
    </w:p>
    <w:p w:rsidR="001F3C18" w:rsidRPr="001F3C18" w:rsidRDefault="001F3C18" w:rsidP="001F3C18">
      <w:pPr>
        <w:spacing w:after="0"/>
        <w:jc w:val="both"/>
        <w:rPr>
          <w:rFonts w:ascii="Arial" w:eastAsia="Arial Unicode MS" w:hAnsi="Arial" w:cs="Arial"/>
          <w:b/>
          <w:bCs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Resolução SEFAZ Nº 971 DE 12/02/2016</w:t>
      </w:r>
    </w:p>
    <w:p w:rsidR="001F3C18" w:rsidRPr="00CC4EA7" w:rsidRDefault="001F3C18" w:rsidP="001F3C18">
      <w:pPr>
        <w:spacing w:after="0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</w:p>
    <w:p w:rsidR="001F3C18" w:rsidRPr="001F3C18" w:rsidRDefault="001F3C18" w:rsidP="001F3C18">
      <w:pPr>
        <w:spacing w:after="0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sz w:val="21"/>
          <w:szCs w:val="21"/>
          <w:lang w:eastAsia="pt-BR"/>
        </w:rPr>
        <w:t xml:space="preserve">Publicado no DOE em 16 </w:t>
      </w:r>
      <w:proofErr w:type="spellStart"/>
      <w:r w:rsidRPr="001F3C18">
        <w:rPr>
          <w:rFonts w:ascii="Arial" w:eastAsia="Arial Unicode MS" w:hAnsi="Arial" w:cs="Arial"/>
          <w:sz w:val="21"/>
          <w:szCs w:val="21"/>
          <w:lang w:eastAsia="pt-BR"/>
        </w:rPr>
        <w:t>fev</w:t>
      </w:r>
      <w:proofErr w:type="spellEnd"/>
      <w:r w:rsidRPr="001F3C18">
        <w:rPr>
          <w:rFonts w:ascii="Arial" w:eastAsia="Arial Unicode MS" w:hAnsi="Arial" w:cs="Arial"/>
          <w:sz w:val="21"/>
          <w:szCs w:val="21"/>
          <w:lang w:eastAsia="pt-BR"/>
        </w:rPr>
        <w:t xml:space="preserve"> 2016</w:t>
      </w:r>
    </w:p>
    <w:p w:rsidR="001F3C18" w:rsidRPr="00CC4EA7" w:rsidRDefault="001F3C18" w:rsidP="001F3C18">
      <w:pPr>
        <w:spacing w:after="0"/>
        <w:jc w:val="both"/>
        <w:rPr>
          <w:rFonts w:ascii="Arial" w:eastAsia="Arial Unicode MS" w:hAnsi="Arial" w:cs="Arial"/>
          <w:i/>
          <w:iCs/>
          <w:sz w:val="21"/>
          <w:szCs w:val="21"/>
          <w:lang w:eastAsia="pt-BR"/>
        </w:rPr>
      </w:pPr>
    </w:p>
    <w:p w:rsidR="001F3C18" w:rsidRPr="001F3C18" w:rsidRDefault="001F3C18" w:rsidP="001F3C18">
      <w:pPr>
        <w:spacing w:after="0"/>
        <w:jc w:val="both"/>
        <w:rPr>
          <w:rFonts w:ascii="Arial" w:eastAsia="Arial Unicode MS" w:hAnsi="Arial" w:cs="Arial"/>
          <w:i/>
          <w:iCs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i/>
          <w:iCs/>
          <w:sz w:val="21"/>
          <w:szCs w:val="21"/>
          <w:lang w:eastAsia="pt-BR"/>
        </w:rPr>
        <w:t xml:space="preserve">Estabelece normas para concessão de isenção do ICMS nas operações ou prestações internas, destinadas a órgãos da Administração Pública Estadual direta e suas fundações e autarquias, conforme previsto no Convênio ICMS nº 26/2003, e revoga as </w:t>
      </w:r>
      <w:proofErr w:type="spellStart"/>
      <w:r w:rsidRPr="001F3C18">
        <w:rPr>
          <w:rFonts w:ascii="Arial" w:eastAsia="Arial Unicode MS" w:hAnsi="Arial" w:cs="Arial"/>
          <w:i/>
          <w:iCs/>
          <w:sz w:val="21"/>
          <w:szCs w:val="21"/>
          <w:lang w:eastAsia="pt-BR"/>
        </w:rPr>
        <w:t>Resoluç</w:t>
      </w:r>
      <w:r w:rsidR="00881F80">
        <w:rPr>
          <w:rFonts w:ascii="Arial" w:eastAsia="Arial Unicode MS" w:hAnsi="Arial" w:cs="Arial"/>
          <w:i/>
          <w:iCs/>
          <w:sz w:val="21"/>
          <w:szCs w:val="21"/>
          <w:lang w:eastAsia="pt-BR"/>
        </w:rPr>
        <w:t>’</w:t>
      </w:r>
      <w:r w:rsidRPr="001F3C18">
        <w:rPr>
          <w:rFonts w:ascii="Arial" w:eastAsia="Arial Unicode MS" w:hAnsi="Arial" w:cs="Arial"/>
          <w:i/>
          <w:iCs/>
          <w:sz w:val="21"/>
          <w:szCs w:val="21"/>
          <w:lang w:eastAsia="pt-BR"/>
        </w:rPr>
        <w:t>ões</w:t>
      </w:r>
      <w:proofErr w:type="spellEnd"/>
      <w:r w:rsidRPr="001F3C18">
        <w:rPr>
          <w:rFonts w:ascii="Arial" w:eastAsia="Arial Unicode MS" w:hAnsi="Arial" w:cs="Arial"/>
          <w:i/>
          <w:iCs/>
          <w:sz w:val="21"/>
          <w:szCs w:val="21"/>
          <w:lang w:eastAsia="pt-BR"/>
        </w:rPr>
        <w:t xml:space="preserve"> SER </w:t>
      </w:r>
      <w:proofErr w:type="spellStart"/>
      <w:r w:rsidRPr="001F3C18">
        <w:rPr>
          <w:rFonts w:ascii="Arial" w:eastAsia="Arial Unicode MS" w:hAnsi="Arial" w:cs="Arial"/>
          <w:i/>
          <w:iCs/>
          <w:sz w:val="21"/>
          <w:szCs w:val="21"/>
          <w:lang w:eastAsia="pt-BR"/>
        </w:rPr>
        <w:t>nºs</w:t>
      </w:r>
      <w:proofErr w:type="spellEnd"/>
      <w:r w:rsidRPr="001F3C18">
        <w:rPr>
          <w:rFonts w:ascii="Arial" w:eastAsia="Arial Unicode MS" w:hAnsi="Arial" w:cs="Arial"/>
          <w:i/>
          <w:iCs/>
          <w:sz w:val="21"/>
          <w:szCs w:val="21"/>
          <w:lang w:eastAsia="pt-BR"/>
        </w:rPr>
        <w:t xml:space="preserve"> 47/2003 e 241/2006.</w:t>
      </w:r>
    </w:p>
    <w:p w:rsidR="001F3C18" w:rsidRPr="00CC4EA7" w:rsidRDefault="001F3C18" w:rsidP="001F3C18">
      <w:pPr>
        <w:spacing w:after="0"/>
        <w:rPr>
          <w:rFonts w:ascii="Arial" w:eastAsia="Arial Unicode MS" w:hAnsi="Arial" w:cs="Arial"/>
          <w:sz w:val="21"/>
          <w:szCs w:val="21"/>
          <w:lang w:eastAsia="pt-BR"/>
        </w:rPr>
      </w:pPr>
    </w:p>
    <w:p w:rsidR="001F3C18" w:rsidRPr="001F3C18" w:rsidRDefault="001F3C18" w:rsidP="001F3C18">
      <w:pPr>
        <w:spacing w:after="0"/>
        <w:rPr>
          <w:rFonts w:ascii="Arial" w:eastAsia="Arial Unicode MS" w:hAnsi="Arial" w:cs="Arial"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sz w:val="21"/>
          <w:szCs w:val="21"/>
          <w:lang w:eastAsia="pt-BR"/>
        </w:rPr>
        <w:t>O Secretário de Estado de Fazenda, no uso de suas atribuições legais, e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Considerando o contido no Processo nº E-04/073/62/2013,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Resolve: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1º Ficam isentas do ICMS as operações e prestações internas, relativas à aquisição de bens, mercadorias ou serviços por órgãos da Administração Pública Estadual Direta e suas Fundações e Autarquias.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2º Para fruição do benefício previsto no artigo anterior, o estabelecimento remetente deve abater do preço da mercadoria ou do serviço o valor equivalente ao imposto dispensado.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1º Na Nota Fiscal que acobertar a saída da mercadoria ou a prestação do serviço, o estabelecimento remetente fica obrigado a: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a) demonstrar os cálculos relativos à redução do preço;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b) mencionar a seguinte expressão: "Operação beneficiada com isenção do ICMS nos termos do Convênio ICMS 26 /2003 . Valor dispensado de R$______________ (valor por extenso)".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c) utilizar o Código de Situação Tributária - CST 40 "isenta" e preencher no campo "motivo da desoneração" a opção 8 "venda à órgãos públicos";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d) mencionar o número e a data da Nota de Empenho e o código da Unidade Executora;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e) mencionar o número da Declaração de Importação (DI) e da respectiva nota fiscal emitida na entrada, na hipótese de mercadoria ou bem importado.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2º As exigências estabelecidas nos itens "d" e "e" do § 1º não se aplicam às empresas concessionárias de serviço público de energia elétrica, telefonia e de fornecimento de água.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3º Na hipótese de qualquer operação com mercadorias importadas do exterior, a concessão do benefício fica condicionada à comprovação de inexistência de similar produzido no país.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lastRenderedPageBreak/>
        <w:t>Parágrafo único. A inexistência de similar produzido no país será atestada por órgão federal competente ou por entidade representativa do setor produtivo da mercadoria ou do bem com abrangência em todo o território nacional.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4º Fica dispensado o estorno do crédito fiscal do ICMS a que se refere o inciso I do art. 37 da Lei nº 2.657, de 26 de dezembro de 1996, relativo às mercadorias e serviços cuja operação subsequente seja beneficiada pela isenção de que trata esta resolução.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1º Na hipótese de mercadoria sujeita ao regime de substituição tributária, o contribuinte substituto: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I - poderá manter o crédito fiscal relativo a operações anteriores à saída de mercadoria cuja operação subsequente tenha sido beneficiada pela isenção de que trata esta resolução;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II - deverá deduzir do imposto retido nas próximas remessas para o mesmo contribuinte substituído: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a) o imposto que foi retido na saída de mercadoria cuja operação seguinte tenha sido beneficiada pela isenção de que trata esta Resolução;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b) imposto relativo à operação própria na saída de mercadoria cuja operação subsequente tenha sido beneficiada pela isenção de que trata esta resolução.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III - poderá transferir o valor do ICMS retido por antecipação, a crédito do contribuinte substituído que realizou a operação ou prestação subsequente isenta.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2º O disposto no § 1º aplica-se, tão somente, na proporção do volume de venda realizada pelo substituído para órgãos da Administração Pública Direta e suas Fundações e Autarquias.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3º O disposto neste artigo não se aplica sobre eventuais créditos tributários acumulados em data anterior ao início da vigência desta Resolução.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5º O descumprimento das condições estabelecidas nesta resolução acarreta a perda do direito ao benefício nela previsto e a exigibilidade do imposto não pago, com todos os acréscimos legais.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6º Esta Resolução entrará em vigor na data de sua publicação, revogando a Resolução SER nº 47, de 24 de setembro de 2003, e a Resolução SER nº 241, de 09 de janeiro de 2006.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Rio de Janeiro, 12 de fevereiro de 2016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JULIO CÉSAR CARMO BUENO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Secretário de Estado de Fazenda</w:t>
      </w:r>
    </w:p>
    <w:p w:rsidR="008E1D72" w:rsidRPr="001F3C18" w:rsidRDefault="008E1D72" w:rsidP="001F3C18"/>
    <w:sectPr w:rsidR="008E1D72" w:rsidRPr="001F3C18" w:rsidSect="001F3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E8A" w:rsidRDefault="009B6E8A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E8A" w:rsidRDefault="009B6E8A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E8A" w:rsidRDefault="009B6E8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E8A" w:rsidRDefault="009B6E8A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3828" w:type="dxa"/>
      <w:tblInd w:w="57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828"/>
    </w:tblGrid>
    <w:tr w:rsidR="00E06F1F" w:rsidRPr="004E7AFB" w:rsidTr="00B62A4C">
      <w:trPr>
        <w:trHeight w:val="262"/>
      </w:trPr>
      <w:tc>
        <w:tcPr>
          <w:tcW w:w="3828" w:type="dxa"/>
          <w:shd w:val="clear" w:color="auto" w:fill="auto"/>
        </w:tcPr>
        <w:p w:rsidR="00E06F1F" w:rsidRPr="004E7AFB" w:rsidRDefault="00E06F1F" w:rsidP="00B62A4C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E06F1F" w:rsidRPr="004E7AFB" w:rsidTr="00B62A4C">
      <w:trPr>
        <w:trHeight w:val="417"/>
      </w:trPr>
      <w:tc>
        <w:tcPr>
          <w:tcW w:w="3828" w:type="dxa"/>
          <w:shd w:val="clear" w:color="auto" w:fill="auto"/>
        </w:tcPr>
        <w:p w:rsidR="00E06F1F" w:rsidRPr="004E7AFB" w:rsidRDefault="00E06F1F" w:rsidP="009B6E8A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75DD1883" wp14:editId="3E025E5D">
                <wp:simplePos x="0" y="0"/>
                <wp:positionH relativeFrom="column">
                  <wp:posOffset>-1030605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PROCESSO: </w:t>
          </w:r>
          <w:r w:rsidR="009B6E8A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S</w:t>
          </w: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E</w:t>
          </w:r>
          <w:r w:rsidR="009B6E8A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I-07/002.4704</w:t>
          </w:r>
          <w:bookmarkStart w:id="0" w:name="_GoBack"/>
          <w:bookmarkEnd w:id="0"/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E06F1F" w:rsidRPr="004E7AFB" w:rsidTr="00B62A4C">
      <w:trPr>
        <w:trHeight w:val="364"/>
      </w:trPr>
      <w:tc>
        <w:tcPr>
          <w:tcW w:w="3828" w:type="dxa"/>
          <w:shd w:val="clear" w:color="auto" w:fill="auto"/>
        </w:tcPr>
        <w:p w:rsidR="00E06F1F" w:rsidRPr="004E7AFB" w:rsidRDefault="00E06F1F" w:rsidP="00B62A4C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</w:p>
      </w:tc>
    </w:tr>
    <w:tr w:rsidR="00E06F1F" w:rsidRPr="004E7AFB" w:rsidTr="00B62A4C">
      <w:trPr>
        <w:trHeight w:val="368"/>
      </w:trPr>
      <w:tc>
        <w:tcPr>
          <w:tcW w:w="3828" w:type="dxa"/>
          <w:shd w:val="clear" w:color="auto" w:fill="auto"/>
        </w:tcPr>
        <w:p w:rsidR="00E06F1F" w:rsidRPr="004E7AFB" w:rsidRDefault="00E06F1F" w:rsidP="009B6E8A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ID.: 5</w:t>
          </w:r>
          <w:r w:rsidR="009B6E8A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087775-5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         </w:t>
          </w:r>
        </w:p>
      </w:tc>
    </w:tr>
  </w:tbl>
  <w:p w:rsidR="004E7AFB" w:rsidRDefault="004E7AFB" w:rsidP="004E7AFB">
    <w:pPr>
      <w:pStyle w:val="Cabealho"/>
      <w:jc w:val="center"/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FA5982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SUSTENTABILIDADE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E8A" w:rsidRDefault="009B6E8A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1F3C18"/>
    <w:rsid w:val="00261AE7"/>
    <w:rsid w:val="00270579"/>
    <w:rsid w:val="004E7AFB"/>
    <w:rsid w:val="00881F80"/>
    <w:rsid w:val="008D1751"/>
    <w:rsid w:val="008E1D72"/>
    <w:rsid w:val="009B6E8A"/>
    <w:rsid w:val="009D5CF8"/>
    <w:rsid w:val="009F7325"/>
    <w:rsid w:val="00BA007B"/>
    <w:rsid w:val="00BC74B7"/>
    <w:rsid w:val="00CC4EA7"/>
    <w:rsid w:val="00E06F1F"/>
    <w:rsid w:val="00E53FF0"/>
    <w:rsid w:val="00E74A66"/>
    <w:rsid w:val="00ED5598"/>
    <w:rsid w:val="00FA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2E1BFFBC-9B4F-4502-A825-FDC6A2D04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645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11</cp:revision>
  <cp:lastPrinted>2018-03-07T18:33:00Z</cp:lastPrinted>
  <dcterms:created xsi:type="dcterms:W3CDTF">2018-03-27T15:01:00Z</dcterms:created>
  <dcterms:modified xsi:type="dcterms:W3CDTF">2020-03-16T15:53:00Z</dcterms:modified>
</cp:coreProperties>
</file>